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localités du Nord-Est Siberien documentées par A. Sher ont fourni un matériel très riche mais difficile Ã dater. La plupart des fossiles datent du Pléistocène Inférieur-Moyen mais des mélanges avec du Pléistocène Supérieur sont souvent possibles.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J’ai regroupé les fossiles suivant leur morphologie et/ou leur attribution probable plutÃ´t que leur origine et je distingue deux grands groupes : </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proche dâ€™</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et un caballin proche dâ€™</w:t>
      </w:r>
      <w:r>
        <w:rPr>
          <w:rFonts w:ascii="inherit" w:hAnsi="inherit"/>
          <w:b w:val="false"/>
          <w:i/>
          <w:caps w:val="false"/>
          <w:smallCaps w:val="false"/>
          <w:color w:val="000000"/>
          <w:spacing w:val="0"/>
          <w:sz w:val="24"/>
        </w:rPr>
        <w:t>E. scotti</w:t>
      </w:r>
      <w:r>
        <w:rPr>
          <w:rFonts w:ascii="Cambria;Georgia;Times New Roman;Times;serif" w:hAnsi="Cambria;Georgia;Times New Roman;Times;serif"/>
          <w:b w:val="false"/>
          <w:i w:val="false"/>
          <w:caps w:val="false"/>
          <w:smallCaps w:val="false"/>
          <w:color w:val="000000"/>
          <w:spacing w:val="0"/>
          <w:sz w:val="24"/>
        </w:rPr>
        <w:t>. Dans certains cas toutefois (mandibules et dents jugales supérieures), les mesures figurent dans un mÃªme tableau quelle que soit l’espèce.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Informations concernant les localités.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Rivière Kolyma, près de la ville de Tchersky.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 ChTR, courte séquence d’Olyorian et dépots de pente héterochrones.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Rivière Chukochya située Ã l’Ouest de la rivière Kolyma.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 21.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Coupe type de la formation d’Olyor et localité d’origine de la série jugale inférieure type d’</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(PIN 835-123). Ce fossile serait contemporain de l’épisode de Jaramillo ou mÃªme plus vieux. Le MC III PIN 3100-801 serait aussi ancien; il ressemble toutefois beaucoup Ã celui trouvé dans les dépÃ´ts plus jeunes de la localité 37.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L’ensemble du matériel ne paraÃ®t pas homogène : la taille des dents varie ainsi que la taille et la morphologie des métapodes.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Localité 37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Début de Brunhes. Une des localités les plus intéressantes parce qu’elle a livré des restes associés (PIN 3100-333) d’un grand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 dents jugales supérieures et inférieures, et presque tous les os des membres.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Les dents jugales supérieures ont la mÃªme taille que celles d’Akhalkalaki et la mÃªme profondeur du sillon post- protoconique mais les protocones sont un peu plus courts et l’émail plus plissé (plis caballins parfois multiples). La molaire inférieure présente un ectoflexide très profond alors qu’il est au contraire très court sur la M3 - peu usée - (comme dans S 6882 de SÃ¼ssenborn). Les métapodes ressemblent Ã ceux d’Akhalkalaki sauf que la largeur distale articulaire est plus grande sur le MC, et la sus-articulaire plus grande sur le MT. Les proportions des métapodes et premières phalanges sont celles d’Akhalkalaki mais la troisième phalange antérieure est beaucoup plus large : 111mm au lieu d’une myenen de 93,3mm et d’un maximum de 97mm Ã Akhalkalaki. Le plissement de l’émail et la largeur de la troisième phalange suggèrent un environnement plus humide et un sol moins dur qu’Ã Akhalkalaki.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Pour les autres localités seul un Ã¢ge approximatif ou probable peut Ãªtre donné aux fossiles qui sont mélangés. La plupart datent de l’Olyorian - entre 1,2 Ã 0,6 Ma.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Localités 18A et 24 : probablement Olyorian ancien.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 25 : prédominance d’Olyorian ancien mais présence d’Olyorian tardif et de sédiments plus jeunes.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Localités 26, 27, 28, 31 et 34 : Olyorian ancien possible mais non prédominant.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Localités 35, 36 et 37 : en principe Olyorian tardif.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 38 : pas d’Olyorian; Pléistocène supérieur probable.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Rivière Adycha, affluent droit de la Iana, région de Verkhoiansk.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Localité Ulakhan Sular</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Falaise de sable de 52m de haut dont le membre inférieur est rapporté Ã la partie supérieure de la formation d’Adycha (polarisation normale, Olyorian tardif : jugales inférieures PIN 3723-53 et MC III PIN 3723-95) mais présence de fossiles plus anciens remaniés (d’Ã¢ge Olyorian ancien ou mÃªme plus vieux).</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CrÃ¢ne de caballin SI 160-455.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Localiés Kyra, Maxim, Oskhordokh</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Mélanges avec prédominance d’Olyorian.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 1975. Die nÃ¶rdlichste Variante der "Mindel"-Fauna in Eurasien und der Ursprung der subarktischen Mammalien. QuartÃ¤rpalÃ¤ontologie, 1, 235-242.</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1986. - On the history of mammal fauna of Beringida. QuartÃ¤rpalÃ¤ontologie, 6 : 185-193, 1 fig., 1 tabl., Berlin.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1987. - Olyorian land mammal age of Northeastern Siberia. Palaeontographia italica, 74 : 97-112, 1 fig., 6 pl., 1 tabl., Pisa.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SHER A.V. 1992. Beringian fauna and Early Quaternary mammalian dispersal in Eurasia: ecological aspects. Courier Forschungsinstitut Senckenberg 153, 125:133.</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LibreOffice/7.4.3.2$Windows_X86_64 LibreOffice_project/1048a8393ae2eeec98dff31b5c133c5f1d08b890</Application>
  <AppVersion>15.0000</AppVersion>
  <Pages>2</Pages>
  <Words>625</Words>
  <Characters>3415</Characters>
  <CharactersWithSpaces>4045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2024-08-02T16:53:00Z</dcterms:created>
  <dc:creator/>
  <dc:description/>
  <dc:language>en-US</dc:language>
  <cp:lastModifiedBy/>
  <dcterms:modified xsi:type="dcterms:W3CDTF">2024-08-02T17:24:45Z</dcterms:modified>
  <cp:revision>7</cp:revision>
  <dc:subject/>
  <dc:title/>
</cp:coreProperties>
</file>